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F5" w:rsidRPr="002E3FF5" w:rsidRDefault="002E3FF5" w:rsidP="002E3FF5">
      <w:pPr>
        <w:pStyle w:val="NormaleWeb"/>
        <w:jc w:val="center"/>
      </w:pPr>
      <w:r w:rsidRPr="002E3FF5">
        <w:t>A.S. 1120</w:t>
      </w:r>
    </w:p>
    <w:p w:rsidR="002E3FF5" w:rsidRPr="002E3FF5" w:rsidRDefault="002E3FF5" w:rsidP="002E3FF5">
      <w:pPr>
        <w:pStyle w:val="NormaleWeb"/>
        <w:jc w:val="center"/>
      </w:pPr>
      <w:r w:rsidRPr="002E3FF5">
        <w:t>ODG</w:t>
      </w:r>
    </w:p>
    <w:p w:rsidR="002E3FF5" w:rsidRPr="002E3FF5" w:rsidRDefault="002E3FF5" w:rsidP="002E3FF5">
      <w:pPr>
        <w:pStyle w:val="NormaleWeb"/>
      </w:pPr>
      <w:r w:rsidRPr="002E3FF5">
        <w:t>Il Senato,</w:t>
      </w:r>
    </w:p>
    <w:p w:rsidR="002E3FF5" w:rsidRPr="002E3FF5" w:rsidRDefault="002E3FF5" w:rsidP="002E3FF5">
      <w:pPr>
        <w:pStyle w:val="NormaleWeb"/>
      </w:pPr>
      <w:r w:rsidRPr="002E3FF5">
        <w:t xml:space="preserve">Premesso che, </w:t>
      </w:r>
    </w:p>
    <w:p w:rsidR="002E3FF5" w:rsidRPr="002E3FF5" w:rsidRDefault="002E3FF5" w:rsidP="002E3FF5">
      <w:pPr>
        <w:pStyle w:val="NormaleWeb"/>
        <w:jc w:val="both"/>
      </w:pPr>
      <w:r w:rsidRPr="002E3FF5">
        <w:t xml:space="preserve">il 21/22/23  novembre 2012 si è svolta a Venezia la Seconda Conferenza Nazionale sull'Amianto, nel corso della quale sono stati indicati gli obiettivi da perseguire in questa, al contempo, nuova e ultima fase della lotta per la completa eliminazione della fibra </w:t>
      </w:r>
      <w:r w:rsidRPr="002E3FF5">
        <w:rPr>
          <w:i/>
          <w:iCs/>
        </w:rPr>
        <w:t>killer</w:t>
      </w:r>
      <w:r w:rsidRPr="002E3FF5">
        <w:t xml:space="preserve"> dall'Italia in tempi certi; </w:t>
      </w:r>
    </w:p>
    <w:p w:rsidR="002E3FF5" w:rsidRPr="002E3FF5" w:rsidRDefault="002E3FF5" w:rsidP="002E3FF5">
      <w:pPr>
        <w:pStyle w:val="NormaleWeb"/>
        <w:jc w:val="both"/>
      </w:pPr>
      <w:r w:rsidRPr="002E3FF5">
        <w:t xml:space="preserve">secondo l'Ufficio internazionale del lavoro, sono circa 120.000 i decessi causati nel mondo ogni anno da tumori provocati dall'esposizione all'amianto e sono circa 4.000 quelli risultanti in Italia; </w:t>
      </w:r>
    </w:p>
    <w:p w:rsidR="002E3FF5" w:rsidRPr="002E3FF5" w:rsidRDefault="002E3FF5" w:rsidP="002E3FF5">
      <w:pPr>
        <w:pStyle w:val="NormaleWeb"/>
        <w:jc w:val="both"/>
      </w:pPr>
      <w:r w:rsidRPr="002E3FF5">
        <w:t xml:space="preserve">nei prossimi decenni, stante il lungo periodo di latenza della malattia, che può superare anche i 30 anni, si avrà, anche in Italia, un ulteriore forte incremento dei decessi provocati dall'amianto, incremento che raggiungerà l'apice tra il 2015 e il 2025 (e, secondo alcuni esperti, addirittura nel 2040); </w:t>
      </w:r>
    </w:p>
    <w:p w:rsidR="002E3FF5" w:rsidRPr="002E3FF5" w:rsidRDefault="002E3FF5" w:rsidP="002E3FF5">
      <w:pPr>
        <w:pStyle w:val="NormaleWeb"/>
        <w:jc w:val="both"/>
      </w:pPr>
      <w:r w:rsidRPr="002E3FF5">
        <w:t xml:space="preserve">il 29 aprile 2008 è stato presentato il disegno di legge "Disposizioni a favore dei lavoratori e dei cittadini esposti ed ex esposti all'amianto e dei loro familiari, nonché delega al Governo per l'adozione del testo unico in materia di esposizione all'amianto" (Atto Senato 173); </w:t>
      </w:r>
    </w:p>
    <w:p w:rsidR="002E3FF5" w:rsidRPr="002E3FF5" w:rsidRDefault="002E3FF5" w:rsidP="002E3FF5">
      <w:pPr>
        <w:pStyle w:val="NormaleWeb"/>
        <w:jc w:val="both"/>
      </w:pPr>
      <w:r w:rsidRPr="002E3FF5">
        <w:t xml:space="preserve">che l’8 marzo 2013   a Casale Monferrato, città simbolo dell’esposizione e della mortalità da amianto, il Ministro della Salute del precedente governo Renato </w:t>
      </w:r>
      <w:proofErr w:type="spellStart"/>
      <w:r w:rsidRPr="002E3FF5">
        <w:t>Balduzzi</w:t>
      </w:r>
      <w:proofErr w:type="spellEnd"/>
      <w:r w:rsidRPr="002E3FF5">
        <w:t xml:space="preserve"> ha presentato il Piano Nazionale Amianto composto da 3 capitoli generali a riguardo dei problemi  sanitari (sorveglianza sanitaria, epidemiologia, ricerca clinica), di quelli ambientali o delle bonifiche dei siti contaminati da amianto, di quelli sociali e previdenziali;</w:t>
      </w:r>
    </w:p>
    <w:p w:rsidR="002E3FF5" w:rsidRPr="002E3FF5" w:rsidRDefault="002E3FF5" w:rsidP="002E3FF5">
      <w:pPr>
        <w:pStyle w:val="NormaleWeb"/>
        <w:jc w:val="both"/>
      </w:pPr>
      <w:r w:rsidRPr="002E3FF5">
        <w:t xml:space="preserve">Considerato che, </w:t>
      </w:r>
    </w:p>
    <w:p w:rsidR="002E3FF5" w:rsidRPr="002E3FF5" w:rsidRDefault="002E3FF5" w:rsidP="002E3FF5">
      <w:pPr>
        <w:pStyle w:val="NormaleWeb"/>
        <w:jc w:val="both"/>
      </w:pPr>
      <w:r w:rsidRPr="002E3FF5">
        <w:t xml:space="preserve">nella seduta del 7 febbraio 2012, nella precedente legislatura,  il Senato ha già approvato quasi all'unanimità una risoluzione (6-00121, </w:t>
      </w:r>
      <w:proofErr w:type="spellStart"/>
      <w:r w:rsidRPr="002E3FF5">
        <w:t>Casson</w:t>
      </w:r>
      <w:proofErr w:type="spellEnd"/>
      <w:r w:rsidRPr="002E3FF5">
        <w:t xml:space="preserve"> ed altri 27 firmatari) che impegnava il Governo in ordine ai sei specifici seguenti punti: 1) modificare il decreto emanato dal Ministro del lavoro e previdenza sociale in data 12 gennaio 2011 in attuazione della legge finanziaria del 2008 (n. 244 del 2007), al fine di garantire il funzionamento del Comitato organizzatore e la gestione del Fondo per le vittime dell'amianto, disciplinare le procedure e le modalità di erogazione delle prestazioni a favore di tutte le persone (civili e militari, lavoratori e non lavoratori), che abbiano contratto patologie asbesto-correlate per esposizione all'amianto a qualsiasi titolo, in situazioni lavorative, domestiche o ambientali e, in caso di premorte, in favore degli eredi. A tal fine occorre prioritariamente valutare la piena conformità del decreto ministeriale in questione con le previsioni di cui alla legge n. 244 del 2007, anche al fine di proporre eventuali modifiche alla normativa primaria di riferimento; 2) istituire un apposito Fondo per realizzare, in accordo con il coordinamento degli assessori regionali alla salute, un programma di indirizzo e coordinamento e messa in rete dei programmi delle singole regioni, in materia di «Sorveglianza sanitaria, diagnosi precoce e terapie efficaci» delle persone dichiaratesi esposte all'amianto e per le persone che hanno ricevuto e riceveranno dall'Istituto nazionale per l'assicurazione contro gli infortuni sul lavoro (</w:t>
      </w:r>
      <w:proofErr w:type="spellStart"/>
      <w:r w:rsidRPr="002E3FF5">
        <w:t>INAlL</w:t>
      </w:r>
      <w:proofErr w:type="spellEnd"/>
      <w:r w:rsidRPr="002E3FF5">
        <w:t xml:space="preserve">) e/o dalle Aziende unità sanitarie locali (AUSL) l'attestato di avvenuta esposizione all'amianto; 3) istituire, presso il Ministero dell'economia e delle finanze, un Fondo nazionale per il risanamento degli edifici pubblici, per il finanziamento degli interventi finalizzati ad eliminare i </w:t>
      </w:r>
      <w:r w:rsidRPr="002E3FF5">
        <w:lastRenderedPageBreak/>
        <w:t xml:space="preserve">rischi per la salute pubblica derivanti dalla presenza di amianto negli edifici pubblici e nelle strutture e mezzi di trasporto pubblico, prevedendo prioritariamente la messa in sicurezza degli edifici scolastici ed universitari, delle strutture ospedaliere, degli uffici aperti al pubblico e delle caserme e delle navi militari; 4) favorire l'instaurazione di un quadro interpretativo omogeneo il quale risulti idoneo ad assicurare il tempestivo rilascio delle certificazioni di esposizione all'amianto in favore dei lavoratori esposti e agli ex esposti, al fine di consentire loro l'accesso ai benefici e alle prestazioni sanitarie previste dalla normativa vigente; 5) provvedere alla riapertura del termine del 15 giugno 2005, di cui al decreto del Ministro del lavoro e delle politiche sociali del 27 ottobre 2004, pubblicato sulla </w:t>
      </w:r>
      <w:r w:rsidRPr="002E3FF5">
        <w:rPr>
          <w:i/>
          <w:iCs/>
        </w:rPr>
        <w:t xml:space="preserve">Gazzetta Ufficiale </w:t>
      </w:r>
      <w:r w:rsidRPr="002E3FF5">
        <w:t xml:space="preserve">n. 295 del 17 dicembre 2004, in attuazione di quanto previsto dal decreto-legge n. 269 del 2003, convertito, con modificazioni, dalla legge n. 326 del 2003, riapertura già sollecitata con Atto Senato n. 2141 del 28 aprile 2010; 6) provvedere alla indizione e organizzazione della Conferenza Nazionale sulle patologie asbesto-correlate nonché sulla conoscenza, prevenzione e bonifica dei siti contaminati da amianto; </w:t>
      </w:r>
    </w:p>
    <w:p w:rsidR="002E3FF5" w:rsidRPr="002E3FF5" w:rsidRDefault="002E3FF5" w:rsidP="002E3FF5">
      <w:pPr>
        <w:pStyle w:val="NormaleWeb"/>
        <w:jc w:val="both"/>
      </w:pPr>
      <w:r w:rsidRPr="002E3FF5">
        <w:t xml:space="preserve">rilevato che su tali impegni risulta che il Governo abbia risposto positivamente solo in ordine al sesto punto, concernente l’organizzazione della seconda Conferenza nazionale governativa sull'amianto; </w:t>
      </w:r>
    </w:p>
    <w:p w:rsidR="002E3FF5" w:rsidRPr="002E3FF5" w:rsidRDefault="002E3FF5" w:rsidP="002E3FF5">
      <w:pPr>
        <w:pStyle w:val="NormaleWeb"/>
        <w:jc w:val="both"/>
      </w:pPr>
      <w:r w:rsidRPr="002E3FF5">
        <w:t xml:space="preserve">ritenuto di dover riproporre al Governo tutte le ricordate inevase questioni, unitamente a quelle concernenti la lentezza dei processi e delle indagini relativi alle persone decedute a causa dell'amianto; </w:t>
      </w:r>
    </w:p>
    <w:p w:rsidR="002E3FF5" w:rsidRPr="002E3FF5" w:rsidRDefault="002E3FF5" w:rsidP="002E3FF5">
      <w:pPr>
        <w:pStyle w:val="NormaleWeb"/>
        <w:jc w:val="both"/>
      </w:pPr>
      <w:r w:rsidRPr="002E3FF5">
        <w:t xml:space="preserve">considerato altresì che, </w:t>
      </w:r>
    </w:p>
    <w:p w:rsidR="002E3FF5" w:rsidRPr="002E3FF5" w:rsidRDefault="002E3FF5" w:rsidP="002E3FF5">
      <w:pPr>
        <w:pStyle w:val="NormaleWeb"/>
        <w:jc w:val="both"/>
      </w:pPr>
      <w:r w:rsidRPr="002E3FF5">
        <w:t xml:space="preserve">i richiesti interventi della magistratura, a tutela delle parti offese (per i casi di malattie asbesto-correlate), devono ritenersi obbligatori e prioritari a norma del codice penale e di procedura penale, anche perché la recente normativa annovera questa tipologia di reati (infortuni sul lavoro e malattie professionali) tra quelli che devono essere trattati, dopo quelli concernenti le più gravi forme di criminalità organizzata, con criteri di precedenza rispetto agli altri; </w:t>
      </w:r>
    </w:p>
    <w:p w:rsidR="002E3FF5" w:rsidRPr="002E3FF5" w:rsidRDefault="002E3FF5" w:rsidP="002E3FF5">
      <w:pPr>
        <w:pStyle w:val="NormaleWeb"/>
        <w:jc w:val="both"/>
      </w:pPr>
      <w:r w:rsidRPr="002E3FF5">
        <w:t xml:space="preserve">la sentenza emanata dalla Corte d’Appello di Torino in data 3 giugno u.s. ha condannato l’imputato </w:t>
      </w:r>
      <w:proofErr w:type="spellStart"/>
      <w:r w:rsidRPr="002E3FF5">
        <w:t>Stephan</w:t>
      </w:r>
      <w:proofErr w:type="spellEnd"/>
      <w:r w:rsidRPr="002E3FF5">
        <w:t xml:space="preserve"> </w:t>
      </w:r>
      <w:proofErr w:type="spellStart"/>
      <w:r w:rsidRPr="002E3FF5">
        <w:t>Schmidheiny</w:t>
      </w:r>
      <w:proofErr w:type="spellEnd"/>
      <w:r w:rsidRPr="002E3FF5">
        <w:t xml:space="preserve"> alla pena di 18 anni di detenzione e di circa 100 milioni atte a risarcire le parti civili vittime, loro famigliari, istituzioni, enti esponenziali e che ad oggi nulla in termini di esecuzione della pena ad oggi è successo;</w:t>
      </w:r>
    </w:p>
    <w:p w:rsidR="002E3FF5" w:rsidRPr="002E3FF5" w:rsidRDefault="002E3FF5" w:rsidP="002E3FF5">
      <w:pPr>
        <w:pStyle w:val="NormaleWeb"/>
        <w:jc w:val="both"/>
      </w:pPr>
      <w:r w:rsidRPr="002E3FF5">
        <w:t xml:space="preserve">gli obblighi di tutela dei lavoratori (e dei loro familiari superstiti) si rinvengono finanche nella Carta costituzionale, che fa costantemente richiamo ai doveri di solidarietà sociale; </w:t>
      </w:r>
    </w:p>
    <w:p w:rsidR="002E3FF5" w:rsidRPr="002E3FF5" w:rsidRDefault="002E3FF5" w:rsidP="002E3FF5">
      <w:pPr>
        <w:pStyle w:val="NormaleWeb"/>
        <w:jc w:val="both"/>
      </w:pPr>
      <w:r w:rsidRPr="002E3FF5">
        <w:t xml:space="preserve">non pare, in effetti e di fatto, che i vari uffici giudiziari funzionalmente e territorialmente competenti (soprattutto le Procure della Repubblica) soddisfino con celerità e priorità tali esigenze relative all'istruzione e trattazione dei procedimenti concernenti le morti a causa del lavoro (in particolare quelle da amianto), sulle quali peraltro già nel corso delle Legislature XIV e XV il Senato aveva istituito una specifica Commissione d'inchiesta, rilevando la notevole vastità e gravità del fenomeno; </w:t>
      </w:r>
    </w:p>
    <w:p w:rsidR="002E3FF5" w:rsidRPr="002E3FF5" w:rsidRDefault="002E3FF5" w:rsidP="002E3FF5">
      <w:pPr>
        <w:pStyle w:val="NormaleWeb"/>
        <w:jc w:val="both"/>
      </w:pPr>
      <w:r>
        <w:t>C</w:t>
      </w:r>
      <w:r w:rsidRPr="002E3FF5">
        <w:t xml:space="preserve">onsiderato che, </w:t>
      </w:r>
    </w:p>
    <w:p w:rsidR="002E3FF5" w:rsidRPr="002E3FF5" w:rsidRDefault="002E3FF5" w:rsidP="002E3FF5">
      <w:pPr>
        <w:pStyle w:val="NormaleWeb"/>
        <w:jc w:val="both"/>
      </w:pPr>
      <w:r w:rsidRPr="002E3FF5">
        <w:t>in data 8 ottobre 2013 il Coordinamento Nazionale Amianto, formato dalla gran parte delle associazioni delle vittime, degli ex esposti all’amianto, da organizzazione scientifiche volte alla ricerca, allo studio per lo studio della prevenzione, dell’epidemiologia, delle bonifiche da amianto ha manifestato davanti al Parlamento per chiedere che nella Legge di Stabilità per il 2013 venissero inseriti i finanziamenti necessari al fine di arrivare alla immediata approvazione del Piano Nazionale Amianto;</w:t>
      </w:r>
    </w:p>
    <w:p w:rsidR="002E3FF5" w:rsidRPr="002E3FF5" w:rsidRDefault="002E3FF5" w:rsidP="002E3FF5">
      <w:pPr>
        <w:pStyle w:val="NormaleWeb"/>
        <w:jc w:val="both"/>
      </w:pPr>
      <w:r w:rsidRPr="002E3FF5">
        <w:t>richieste presentate ed esposte alla Commissione Ambiente della Camera dei Deputati, al Ministero del Lavoro nella medesima giornata, al Ministero dell’Ambiente del Territorio e del Mare il 14 successivo,  che hanno riguardato l’inserimento, attraverso opportuni emendamento di:</w:t>
      </w:r>
    </w:p>
    <w:p w:rsidR="002E3FF5" w:rsidRPr="002E3FF5" w:rsidRDefault="002E3FF5" w:rsidP="002E3FF5">
      <w:pPr>
        <w:pStyle w:val="Paragrafoelenco"/>
        <w:numPr>
          <w:ilvl w:val="0"/>
          <w:numId w:val="2"/>
        </w:numPr>
        <w:jc w:val="both"/>
      </w:pPr>
      <w:r w:rsidRPr="002E3FF5">
        <w:t>70 milioni l’anno per 3 anni al fine di bonificare i 380 siti maggiormente contaminati  da amianto  a partire da 116 scuole di ogni ordine e grado, 37 ospedali, case di cura, case di riposo, 86 uffici della pubblica amministrazione, 27 impianti sportivi, 8 biblioteche e almeno 4 grandi siti industriali dismessi;</w:t>
      </w:r>
      <w:r>
        <w:t xml:space="preserve"> nonché u</w:t>
      </w:r>
      <w:r w:rsidRPr="002E3FF5">
        <w:t>na campagna nazionale di informazione sui danni e rischi da amianto;</w:t>
      </w:r>
      <w:r>
        <w:t xml:space="preserve"> l</w:t>
      </w:r>
      <w:r w:rsidRPr="002E3FF5">
        <w:t>a verifica dei 19 siti adibiti a discarica e dei 720 siti adibiti a deposito di amianto</w:t>
      </w:r>
      <w:r>
        <w:t xml:space="preserve">; </w:t>
      </w:r>
      <w:r w:rsidRPr="002E3FF5">
        <w:t>L’individuazione di discariche alternative (miniere e gallerie in disuso) e di alternative alle discariche (</w:t>
      </w:r>
      <w:proofErr w:type="spellStart"/>
      <w:r w:rsidRPr="002E3FF5">
        <w:t>inertizzatori</w:t>
      </w:r>
      <w:proofErr w:type="spellEnd"/>
      <w:r w:rsidRPr="002E3FF5">
        <w:t>)</w:t>
      </w:r>
      <w:r>
        <w:t xml:space="preserve">; </w:t>
      </w:r>
      <w:r w:rsidRPr="002E3FF5">
        <w:t>l’utilizzo delle incentivazioni previste per sostituire le coperture in amianto con impianti fotovoltaici</w:t>
      </w:r>
      <w:r>
        <w:t>;</w:t>
      </w:r>
    </w:p>
    <w:p w:rsidR="002E3FF5" w:rsidRPr="002E3FF5" w:rsidRDefault="002E3FF5" w:rsidP="002E3FF5">
      <w:pPr>
        <w:jc w:val="both"/>
      </w:pPr>
    </w:p>
    <w:p w:rsidR="002E3FF5" w:rsidRPr="002E3FF5" w:rsidRDefault="002E3FF5" w:rsidP="002E3FF5">
      <w:pPr>
        <w:pStyle w:val="Paragrafoelenco"/>
        <w:numPr>
          <w:ilvl w:val="0"/>
          <w:numId w:val="2"/>
        </w:numPr>
        <w:jc w:val="both"/>
      </w:pPr>
      <w:r w:rsidRPr="002E3FF5">
        <w:t xml:space="preserve">60 milioni l’anno per 3 anni per i lavoratori ex esposti all’amianto che si trovano ad avere una riduzione della speranza di vita e maggior rischio di ammalarsi per attuare quanto già previsto dalla legge di messa al bando dell’amianto (257/92) consistenti in misure di riapertura delle domande per i risarcimenti previdenziali, riconoscimenti dei medesimi per i pensionati prima del 1992, eliminazione del termine di decadenza, sostegno alle vedove, deroga alla Legge </w:t>
      </w:r>
      <w:proofErr w:type="spellStart"/>
      <w:r w:rsidRPr="002E3FF5">
        <w:t>Fornero</w:t>
      </w:r>
      <w:proofErr w:type="spellEnd"/>
      <w:r w:rsidRPr="002E3FF5">
        <w:t xml:space="preserve"> a favore degli ex esposti;</w:t>
      </w:r>
    </w:p>
    <w:p w:rsidR="002E3FF5" w:rsidRPr="002E3FF5" w:rsidRDefault="002E3FF5" w:rsidP="002E3FF5">
      <w:pPr>
        <w:pStyle w:val="Paragrafoelenco"/>
        <w:jc w:val="both"/>
      </w:pPr>
    </w:p>
    <w:p w:rsidR="002E3FF5" w:rsidRPr="002E3FF5" w:rsidRDefault="002E3FF5" w:rsidP="002E3FF5">
      <w:pPr>
        <w:jc w:val="both"/>
      </w:pPr>
      <w:r w:rsidRPr="002E3FF5">
        <w:t>l’allargamento della platea degli aventi diritto al Fondo per le vittime dell’amianto a coloro che hanno contratto malattie e morte (loro eredi), per l’amianto diffuso in ambienti di vita, utilizzando fondi INAIL per un importo pari a 40 milioni di euro</w:t>
      </w:r>
      <w:r>
        <w:t xml:space="preserve"> sempre per tre anni;</w:t>
      </w:r>
    </w:p>
    <w:p w:rsidR="002E3FF5" w:rsidRPr="002E3FF5" w:rsidRDefault="002E3FF5" w:rsidP="002E3FF5">
      <w:pPr>
        <w:jc w:val="both"/>
      </w:pPr>
    </w:p>
    <w:p w:rsidR="002E3FF5" w:rsidRPr="002E3FF5" w:rsidRDefault="002E3FF5" w:rsidP="002E3FF5">
      <w:pPr>
        <w:jc w:val="both"/>
      </w:pPr>
      <w:r>
        <w:t>l</w:t>
      </w:r>
      <w:r w:rsidRPr="002E3FF5">
        <w:t>a conferma dei finanziamenti per la sorveglianza sanitaria degli ex esposti, per la ricerca clinica per combattere le malattie più gravi correlate all’amianto; ampliamento delle registrazioni delle morti da amianto (registro dei mesoteliomi e delle altre patologie asbesto correlate), pari a 5 milioni di euro</w:t>
      </w:r>
      <w:r>
        <w:t>;</w:t>
      </w:r>
    </w:p>
    <w:p w:rsidR="002E3FF5" w:rsidRPr="002E3FF5" w:rsidRDefault="002E3FF5" w:rsidP="002E3FF5">
      <w:pPr>
        <w:jc w:val="both"/>
      </w:pPr>
    </w:p>
    <w:p w:rsidR="002E3FF5" w:rsidRPr="002E3FF5" w:rsidRDefault="002E3FF5" w:rsidP="002E3FF5">
      <w:pPr>
        <w:jc w:val="both"/>
      </w:pPr>
      <w:r w:rsidRPr="002E3FF5">
        <w:t>ed inoltre il ritiro del ricorso davanti al Consiglio di Stato avverso alla sentenza del TAR del Lazio n. 5750 del 18 giugno 2009.</w:t>
      </w:r>
    </w:p>
    <w:p w:rsidR="002E3FF5" w:rsidRPr="002E3FF5" w:rsidRDefault="002E3FF5" w:rsidP="002E3FF5">
      <w:pPr>
        <w:pStyle w:val="NormaleWeb"/>
        <w:jc w:val="center"/>
      </w:pPr>
      <w:r w:rsidRPr="002E3FF5">
        <w:t>impegna il Governo:</w:t>
      </w:r>
    </w:p>
    <w:p w:rsidR="002E3FF5" w:rsidRPr="002E3FF5" w:rsidRDefault="002E3FF5" w:rsidP="002E3FF5">
      <w:pPr>
        <w:pStyle w:val="NormaleWeb"/>
        <w:jc w:val="both"/>
      </w:pPr>
      <w:r w:rsidRPr="002E3FF5">
        <w:t>a dare sollecita attuazione al complesso degli impegni contenuti nella richiamata risoluzione 6-00121, già approvata dal Senato, in particolare per ciò che riguarda l’erogazione del Fondo Nazionale Amianto anche ai cittadini colpiti da malattie asbesto correlate (o loro eredi) di origini diverse da quelle professionali;</w:t>
      </w:r>
    </w:p>
    <w:p w:rsidR="002E3FF5" w:rsidRPr="002E3FF5" w:rsidRDefault="002E3FF5" w:rsidP="002E3FF5">
      <w:pPr>
        <w:pStyle w:val="NormaleWeb"/>
        <w:jc w:val="both"/>
      </w:pPr>
      <w:r w:rsidRPr="002E3FF5">
        <w:t>ad inserire nella legge di Stabilità per il 201</w:t>
      </w:r>
      <w:r w:rsidR="002D3245">
        <w:t>4</w:t>
      </w:r>
      <w:r w:rsidRPr="002E3FF5">
        <w:t xml:space="preserve"> i finanziamenti richiesti dal Coordinamento delle Associazioni delle vittime e degli ex esposti all’amianto;</w:t>
      </w:r>
    </w:p>
    <w:p w:rsidR="002E3FF5" w:rsidRDefault="002E3FF5" w:rsidP="002E3FF5">
      <w:pPr>
        <w:pStyle w:val="NormaleWeb"/>
        <w:jc w:val="both"/>
      </w:pPr>
      <w:r w:rsidRPr="002E3FF5">
        <w:t>a ritirare il ricorso presentato al Consiglio di Stato avverso la sentenza n. 5750 del TAR del Lazio del 18 giugno 2009.</w:t>
      </w:r>
      <w:bookmarkStart w:id="0" w:name="_GoBack"/>
      <w:bookmarkEnd w:id="0"/>
    </w:p>
    <w:p w:rsidR="002E3FF5" w:rsidRPr="007B75A8" w:rsidRDefault="00751D0C" w:rsidP="00FD0CC5">
      <w:pPr>
        <w:shd w:val="clear" w:color="auto" w:fill="FFFFFF"/>
        <w:ind w:left="30"/>
        <w:rPr>
          <w:rFonts w:asciiTheme="minorHAnsi" w:hAnsiTheme="minorHAnsi"/>
          <w:sz w:val="22"/>
          <w:lang w:eastAsia="it-IT"/>
        </w:rPr>
      </w:pPr>
      <w:hyperlink r:id="rId5" w:tooltip="Il link apre una nuova finestra" w:history="1">
        <w:r w:rsidR="007B75A8" w:rsidRPr="006428D9">
          <w:rPr>
            <w:rFonts w:asciiTheme="minorHAnsi" w:hAnsiTheme="minorHAnsi"/>
            <w:sz w:val="22"/>
            <w:lang w:eastAsia="it-IT"/>
          </w:rPr>
          <w:t>CASSON</w:t>
        </w:r>
      </w:hyperlink>
      <w:r w:rsidR="007B75A8" w:rsidRPr="006428D9">
        <w:rPr>
          <w:rFonts w:asciiTheme="minorHAnsi" w:hAnsiTheme="minorHAnsi"/>
          <w:sz w:val="22"/>
          <w:lang w:eastAsia="it-IT"/>
        </w:rPr>
        <w:t xml:space="preserve">, </w:t>
      </w:r>
      <w:hyperlink r:id="rId6" w:tooltip="Il link apre una nuova finestra" w:history="1">
        <w:r w:rsidR="007B75A8" w:rsidRPr="006428D9">
          <w:rPr>
            <w:rFonts w:asciiTheme="minorHAnsi" w:hAnsiTheme="minorHAnsi"/>
            <w:sz w:val="22"/>
            <w:lang w:eastAsia="it-IT"/>
          </w:rPr>
          <w:t>AMATI</w:t>
        </w:r>
      </w:hyperlink>
      <w:r w:rsidR="007B75A8" w:rsidRPr="006428D9">
        <w:rPr>
          <w:rFonts w:asciiTheme="minorHAnsi" w:hAnsiTheme="minorHAnsi"/>
          <w:sz w:val="22"/>
          <w:lang w:eastAsia="it-IT"/>
        </w:rPr>
        <w:t xml:space="preserve">, </w:t>
      </w:r>
      <w:hyperlink r:id="rId7" w:tooltip="Il link apre una nuova finestra" w:history="1">
        <w:r w:rsidR="007B75A8">
          <w:rPr>
            <w:rFonts w:asciiTheme="minorHAnsi" w:hAnsiTheme="minorHAnsi"/>
            <w:sz w:val="22"/>
            <w:lang w:eastAsia="it-IT"/>
          </w:rPr>
          <w:t xml:space="preserve">FEDELI, </w:t>
        </w:r>
        <w:r w:rsidR="007B75A8" w:rsidRPr="006428D9">
          <w:rPr>
            <w:rFonts w:asciiTheme="minorHAnsi" w:hAnsiTheme="minorHAnsi"/>
            <w:sz w:val="22"/>
            <w:lang w:eastAsia="it-IT"/>
          </w:rPr>
          <w:t>FILIPPI</w:t>
        </w:r>
      </w:hyperlink>
      <w:r w:rsidR="007B75A8" w:rsidRPr="006428D9">
        <w:rPr>
          <w:rFonts w:asciiTheme="minorHAnsi" w:hAnsiTheme="minorHAnsi"/>
          <w:sz w:val="22"/>
          <w:lang w:eastAsia="it-IT"/>
        </w:rPr>
        <w:t xml:space="preserve">, </w:t>
      </w:r>
      <w:hyperlink r:id="rId8" w:tooltip="Il link apre una nuova finestra" w:history="1">
        <w:r w:rsidR="007B75A8" w:rsidRPr="006428D9">
          <w:rPr>
            <w:rFonts w:asciiTheme="minorHAnsi" w:hAnsiTheme="minorHAnsi"/>
            <w:sz w:val="22"/>
            <w:lang w:eastAsia="it-IT"/>
          </w:rPr>
          <w:t>MICHELONI</w:t>
        </w:r>
      </w:hyperlink>
      <w:r w:rsidR="007B75A8" w:rsidRPr="006428D9">
        <w:rPr>
          <w:rFonts w:asciiTheme="minorHAnsi" w:hAnsiTheme="minorHAnsi"/>
          <w:sz w:val="22"/>
          <w:lang w:eastAsia="it-IT"/>
        </w:rPr>
        <w:t>, PEGORER</w:t>
      </w:r>
      <w:r w:rsidR="00FD0CC5">
        <w:rPr>
          <w:rFonts w:asciiTheme="minorHAnsi" w:hAnsiTheme="minorHAnsi"/>
          <w:sz w:val="22"/>
          <w:lang w:eastAsia="it-IT"/>
        </w:rPr>
        <w:t>, GRANAIOLA,  CIRINNA', PUPPATO, MINEO, TOCCI, FAVERO</w:t>
      </w:r>
      <w:r w:rsidR="00161BB2">
        <w:rPr>
          <w:rFonts w:asciiTheme="minorHAnsi" w:hAnsiTheme="minorHAnsi"/>
          <w:sz w:val="22"/>
          <w:lang w:eastAsia="it-IT"/>
        </w:rPr>
        <w:t>, DIRINDIN</w:t>
      </w:r>
    </w:p>
    <w:p w:rsidR="00616FF3" w:rsidRDefault="00616FF3"/>
    <w:sectPr w:rsidR="00616FF3" w:rsidSect="00E039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C4471"/>
    <w:multiLevelType w:val="hybridMultilevel"/>
    <w:tmpl w:val="DB341046"/>
    <w:lvl w:ilvl="0" w:tplc="A7388ED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8B12BB"/>
    <w:multiLevelType w:val="hybridMultilevel"/>
    <w:tmpl w:val="8322572C"/>
    <w:lvl w:ilvl="0" w:tplc="7A56CF5C">
      <w:start w:val="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3FF5"/>
    <w:rsid w:val="00161BB2"/>
    <w:rsid w:val="002D3245"/>
    <w:rsid w:val="002E3FF5"/>
    <w:rsid w:val="00302567"/>
    <w:rsid w:val="003A6C9D"/>
    <w:rsid w:val="00616FF3"/>
    <w:rsid w:val="00675CDE"/>
    <w:rsid w:val="00751D0C"/>
    <w:rsid w:val="00796945"/>
    <w:rsid w:val="007B75A8"/>
    <w:rsid w:val="00DA602A"/>
    <w:rsid w:val="00E8616B"/>
    <w:rsid w:val="00EB0BA1"/>
    <w:rsid w:val="00F72E5A"/>
    <w:rsid w:val="00FD0C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FF5"/>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E3FF5"/>
    <w:pPr>
      <w:spacing w:before="100" w:beforeAutospacing="1" w:after="100" w:afterAutospacing="1"/>
    </w:pPr>
    <w:rPr>
      <w:lang w:eastAsia="it-IT"/>
    </w:rPr>
  </w:style>
  <w:style w:type="paragraph" w:styleId="Paragrafoelenco">
    <w:name w:val="List Paragraph"/>
    <w:basedOn w:val="Normale"/>
    <w:uiPriority w:val="34"/>
    <w:qFormat/>
    <w:rsid w:val="002E3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6.senato.it/loc/link.asp?leg=16&amp;tipodoc=sanasen&amp;id=22790" TargetMode="External"/><Relationship Id="rId3" Type="http://schemas.openxmlformats.org/officeDocument/2006/relationships/settings" Target="settings.xml"/><Relationship Id="rId7" Type="http://schemas.openxmlformats.org/officeDocument/2006/relationships/hyperlink" Target="http://leg16.senato.it/loc/link.asp?leg=16&amp;tipodoc=sanasen&amp;id=22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16.senato.it/loc/link.asp?leg=16&amp;tipodoc=sanasen&amp;id=22706" TargetMode="External"/><Relationship Id="rId5" Type="http://schemas.openxmlformats.org/officeDocument/2006/relationships/hyperlink" Target="http://leg16.senato.it/loc/link.asp?leg=16&amp;tipodoc=sanasen&amp;id=223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1587</Words>
  <Characters>9048</Characters>
  <Application>Microsoft Office Word</Application>
  <DocSecurity>0</DocSecurity>
  <Lines>75</Lines>
  <Paragraphs>21</Paragraphs>
  <ScaleCrop>false</ScaleCrop>
  <Company>Senato della Repubblica</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Coresi</dc:creator>
  <cp:lastModifiedBy>Silvia Di Gennaro</cp:lastModifiedBy>
  <cp:revision>5</cp:revision>
  <dcterms:created xsi:type="dcterms:W3CDTF">2013-10-31T15:12:00Z</dcterms:created>
  <dcterms:modified xsi:type="dcterms:W3CDTF">2013-11-05T16:13:00Z</dcterms:modified>
</cp:coreProperties>
</file>