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7230"/>
      </w:tblGrid>
      <w:tr w:rsidR="00C8610E" w:rsidRPr="00C8610E" w:rsidTr="006F6548">
        <w:trPr>
          <w:trHeight w:val="2703"/>
        </w:trPr>
        <w:tc>
          <w:tcPr>
            <w:tcW w:w="2039" w:type="dxa"/>
            <w:shd w:val="clear" w:color="auto" w:fill="auto"/>
          </w:tcPr>
          <w:p w:rsidR="00C8610E" w:rsidRPr="00C8610E" w:rsidRDefault="00C8610E" w:rsidP="00C8610E">
            <w:pPr>
              <w:tabs>
                <w:tab w:val="left" w:pos="8280"/>
              </w:tabs>
              <w:suppressAutoHyphens/>
              <w:snapToGrid w:val="0"/>
              <w:ind w:left="540"/>
              <w:rPr>
                <w:lang w:eastAsia="ar-SA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82040" cy="1485900"/>
                  <wp:effectExtent l="0" t="0" r="381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85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auto"/>
          </w:tcPr>
          <w:p w:rsidR="00C8610E" w:rsidRPr="00C8610E" w:rsidRDefault="00C8610E" w:rsidP="00C8610E">
            <w:pPr>
              <w:tabs>
                <w:tab w:val="left" w:pos="8280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  <w:p w:rsidR="00C8610E" w:rsidRPr="00C8610E" w:rsidRDefault="00C8610E" w:rsidP="00C8610E">
            <w:pPr>
              <w:keepNext/>
              <w:tabs>
                <w:tab w:val="num" w:pos="432"/>
                <w:tab w:val="left" w:pos="8280"/>
              </w:tabs>
              <w:suppressAutoHyphens/>
              <w:ind w:left="432" w:hanging="432"/>
              <w:jc w:val="center"/>
              <w:outlineLvl w:val="0"/>
              <w:rPr>
                <w:rFonts w:ascii="Comic Sans MS" w:hAnsi="Comic Sans MS"/>
                <w:b/>
                <w:bCs/>
                <w:sz w:val="18"/>
                <w:szCs w:val="18"/>
                <w:lang w:eastAsia="ar-SA"/>
              </w:rPr>
            </w:pPr>
            <w:r w:rsidRPr="00C8610E">
              <w:rPr>
                <w:rFonts w:ascii="Comic Sans MS" w:hAnsi="Comic Sans MS"/>
                <w:b/>
                <w:bCs/>
                <w:sz w:val="18"/>
                <w:szCs w:val="18"/>
                <w:lang w:eastAsia="ar-SA"/>
              </w:rPr>
              <w:t>A.I.E.A. onlus</w:t>
            </w:r>
          </w:p>
          <w:p w:rsidR="00C8610E" w:rsidRPr="00C8610E" w:rsidRDefault="00C8610E" w:rsidP="00C8610E">
            <w:pPr>
              <w:keepNext/>
              <w:tabs>
                <w:tab w:val="num" w:pos="432"/>
                <w:tab w:val="left" w:pos="8280"/>
              </w:tabs>
              <w:suppressAutoHyphens/>
              <w:ind w:left="432" w:hanging="432"/>
              <w:jc w:val="center"/>
              <w:outlineLvl w:val="0"/>
              <w:rPr>
                <w:rFonts w:ascii="Comic Sans MS" w:hAnsi="Comic Sans MS"/>
                <w:b/>
                <w:bCs/>
                <w:sz w:val="18"/>
                <w:szCs w:val="18"/>
                <w:lang w:eastAsia="ar-SA"/>
              </w:rPr>
            </w:pPr>
            <w:r w:rsidRPr="00C8610E">
              <w:rPr>
                <w:rFonts w:ascii="Comic Sans MS" w:hAnsi="Comic Sans MS"/>
                <w:b/>
                <w:bCs/>
                <w:sz w:val="18"/>
                <w:szCs w:val="18"/>
                <w:lang w:eastAsia="ar-SA"/>
              </w:rPr>
              <w:t>Associazione Italiana Esposti Amianto</w:t>
            </w:r>
          </w:p>
          <w:p w:rsidR="00C8610E" w:rsidRPr="00C8610E" w:rsidRDefault="00C8610E" w:rsidP="00C8610E">
            <w:pPr>
              <w:suppressAutoHyphens/>
              <w:spacing w:after="120"/>
              <w:jc w:val="center"/>
              <w:rPr>
                <w:rFonts w:ascii="Comic Sans MS" w:hAnsi="Comic Sans MS" w:cs="Arial"/>
                <w:sz w:val="18"/>
                <w:szCs w:val="18"/>
                <w:lang w:eastAsia="ar-SA"/>
              </w:rPr>
            </w:pPr>
            <w:r w:rsidRPr="00C8610E">
              <w:rPr>
                <w:rFonts w:ascii="Comic Sans MS" w:hAnsi="Comic Sans MS" w:cs="Arial"/>
                <w:sz w:val="18"/>
                <w:szCs w:val="18"/>
                <w:lang w:eastAsia="ar-SA"/>
              </w:rPr>
              <w:t xml:space="preserve">&amp; </w:t>
            </w:r>
            <w:r w:rsidRPr="00C8610E">
              <w:rPr>
                <w:rFonts w:ascii="Comic Sans MS" w:hAnsi="Comic Sans MS" w:cs="Arial"/>
                <w:sz w:val="18"/>
                <w:szCs w:val="18"/>
                <w:lang w:eastAsia="ar-SA"/>
              </w:rPr>
              <w:br/>
            </w:r>
            <w:proofErr w:type="spellStart"/>
            <w:r w:rsidRPr="00C8610E">
              <w:rPr>
                <w:rFonts w:ascii="Comic Sans MS" w:hAnsi="Comic Sans MS" w:cs="Arial"/>
                <w:sz w:val="18"/>
                <w:szCs w:val="18"/>
                <w:lang w:eastAsia="ar-SA"/>
              </w:rPr>
              <w:t>Ban</w:t>
            </w:r>
            <w:proofErr w:type="spellEnd"/>
            <w:r w:rsidRPr="00C8610E">
              <w:rPr>
                <w:rFonts w:ascii="Comic Sans MS" w:hAnsi="Comic Sans MS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8610E">
              <w:rPr>
                <w:rFonts w:ascii="Comic Sans MS" w:hAnsi="Comic Sans MS" w:cs="Arial"/>
                <w:sz w:val="18"/>
                <w:szCs w:val="18"/>
                <w:lang w:eastAsia="ar-SA"/>
              </w:rPr>
              <w:t>Asbestos</w:t>
            </w:r>
            <w:proofErr w:type="spellEnd"/>
            <w:r w:rsidRPr="00C8610E">
              <w:rPr>
                <w:rFonts w:ascii="Comic Sans MS" w:hAnsi="Comic Sans MS" w:cs="Arial"/>
                <w:sz w:val="18"/>
                <w:szCs w:val="18"/>
                <w:lang w:eastAsia="ar-SA"/>
              </w:rPr>
              <w:t xml:space="preserve"> Network</w:t>
            </w:r>
          </w:p>
          <w:p w:rsidR="00C8610E" w:rsidRPr="00C8610E" w:rsidRDefault="00C8610E" w:rsidP="00C8610E">
            <w:pPr>
              <w:tabs>
                <w:tab w:val="left" w:pos="7920"/>
              </w:tabs>
              <w:suppressAutoHyphens/>
              <w:jc w:val="center"/>
              <w:rPr>
                <w:rFonts w:ascii="Comic Sans MS" w:hAnsi="Comic Sans MS" w:cs="Arial"/>
                <w:sz w:val="18"/>
                <w:szCs w:val="18"/>
                <w:lang w:eastAsia="ar-SA"/>
              </w:rPr>
            </w:pPr>
            <w:r w:rsidRPr="00C8610E">
              <w:rPr>
                <w:rFonts w:ascii="Comic Sans MS" w:hAnsi="Comic Sans MS" w:cs="Arial"/>
                <w:sz w:val="18"/>
                <w:szCs w:val="18"/>
                <w:lang w:eastAsia="ar-SA"/>
              </w:rPr>
              <w:t>- Via dei Carracci, 2 – 20149 MILANO</w:t>
            </w:r>
          </w:p>
          <w:p w:rsidR="00C8610E" w:rsidRPr="00C8610E" w:rsidRDefault="00C8610E" w:rsidP="00C8610E">
            <w:pPr>
              <w:tabs>
                <w:tab w:val="left" w:pos="8280"/>
              </w:tabs>
              <w:suppressAutoHyphens/>
              <w:jc w:val="center"/>
              <w:rPr>
                <w:rFonts w:ascii="Comic Sans MS" w:hAnsi="Comic Sans MS" w:cs="Arial"/>
                <w:sz w:val="18"/>
                <w:szCs w:val="18"/>
                <w:lang w:eastAsia="ar-SA"/>
              </w:rPr>
            </w:pPr>
            <w:r w:rsidRPr="00C8610E">
              <w:rPr>
                <w:rFonts w:ascii="Comic Sans MS" w:hAnsi="Comic Sans MS" w:cs="Arial"/>
                <w:sz w:val="18"/>
                <w:szCs w:val="18"/>
                <w:lang w:eastAsia="ar-SA"/>
              </w:rPr>
              <w:t>Tel. e fax 02 4984678 – aiea.mi@tiscali.it</w:t>
            </w:r>
          </w:p>
          <w:p w:rsidR="00C8610E" w:rsidRPr="00C8610E" w:rsidRDefault="00C8610E" w:rsidP="00C8610E">
            <w:pPr>
              <w:tabs>
                <w:tab w:val="left" w:pos="8280"/>
              </w:tabs>
              <w:suppressAutoHyphens/>
              <w:jc w:val="center"/>
              <w:rPr>
                <w:rFonts w:ascii="Comic Sans MS" w:hAnsi="Comic Sans MS" w:cs="Arial"/>
                <w:sz w:val="18"/>
                <w:szCs w:val="18"/>
                <w:lang w:eastAsia="ar-SA"/>
              </w:rPr>
            </w:pPr>
            <w:r w:rsidRPr="00C8610E">
              <w:rPr>
                <w:rFonts w:ascii="Comic Sans MS" w:hAnsi="Comic Sans MS" w:cs="Arial"/>
                <w:sz w:val="18"/>
                <w:szCs w:val="18"/>
                <w:lang w:eastAsia="ar-SA"/>
              </w:rPr>
              <w:t>www.associazioneitalianaespostiamianto.org</w:t>
            </w:r>
          </w:p>
          <w:p w:rsidR="00C8610E" w:rsidRPr="00C8610E" w:rsidRDefault="00C8610E" w:rsidP="00C8610E">
            <w:pPr>
              <w:tabs>
                <w:tab w:val="left" w:pos="8280"/>
              </w:tabs>
              <w:suppressAutoHyphens/>
              <w:jc w:val="center"/>
              <w:rPr>
                <w:rFonts w:ascii="Comic Sans MS" w:hAnsi="Comic Sans MS" w:cs="Arial"/>
                <w:sz w:val="20"/>
                <w:szCs w:val="20"/>
                <w:lang w:eastAsia="ar-SA"/>
              </w:rPr>
            </w:pPr>
            <w:r w:rsidRPr="00C8610E">
              <w:rPr>
                <w:rFonts w:ascii="Comic Sans MS" w:hAnsi="Comic Sans MS" w:cs="Arial"/>
                <w:sz w:val="18"/>
                <w:szCs w:val="18"/>
                <w:lang w:eastAsia="ar-SA"/>
              </w:rPr>
              <w:t>e-mail: aiea.mi@libero.it</w:t>
            </w:r>
          </w:p>
        </w:tc>
      </w:tr>
    </w:tbl>
    <w:p w:rsidR="00C8610E" w:rsidRDefault="00C8610E" w:rsidP="00C8610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it-IT"/>
        </w:rPr>
      </w:pPr>
      <w:r>
        <w:rPr>
          <w:b/>
          <w:bCs/>
          <w:kern w:val="36"/>
          <w:sz w:val="48"/>
          <w:szCs w:val="48"/>
          <w:lang w:eastAsia="it-IT"/>
        </w:rPr>
        <w:t>23 maggio 2014</w:t>
      </w:r>
    </w:p>
    <w:p w:rsidR="00C8610E" w:rsidRDefault="00C8610E" w:rsidP="00C8610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it-IT"/>
        </w:rPr>
      </w:pPr>
      <w:r w:rsidRPr="00C8610E">
        <w:rPr>
          <w:b/>
          <w:bCs/>
          <w:kern w:val="36"/>
          <w:sz w:val="48"/>
          <w:szCs w:val="48"/>
          <w:lang w:eastAsia="it-IT"/>
        </w:rPr>
        <w:t xml:space="preserve">Processo </w:t>
      </w:r>
      <w:r>
        <w:rPr>
          <w:b/>
          <w:bCs/>
          <w:kern w:val="36"/>
          <w:sz w:val="48"/>
          <w:szCs w:val="48"/>
          <w:lang w:eastAsia="it-IT"/>
        </w:rPr>
        <w:t xml:space="preserve">ILVA </w:t>
      </w:r>
      <w:r w:rsidRPr="00C8610E">
        <w:rPr>
          <w:b/>
          <w:bCs/>
          <w:kern w:val="36"/>
          <w:sz w:val="48"/>
          <w:szCs w:val="48"/>
          <w:lang w:eastAsia="it-IT"/>
        </w:rPr>
        <w:t xml:space="preserve">a Taranto, </w:t>
      </w:r>
      <w:r>
        <w:rPr>
          <w:b/>
          <w:bCs/>
          <w:kern w:val="36"/>
          <w:sz w:val="48"/>
          <w:szCs w:val="48"/>
          <w:lang w:eastAsia="it-IT"/>
        </w:rPr>
        <w:t>per amianto</w:t>
      </w:r>
    </w:p>
    <w:p w:rsidR="00C8610E" w:rsidRPr="00C8610E" w:rsidRDefault="00C8610E" w:rsidP="00C8610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it-IT"/>
        </w:rPr>
      </w:pPr>
      <w:r>
        <w:rPr>
          <w:b/>
          <w:bCs/>
          <w:kern w:val="36"/>
          <w:sz w:val="48"/>
          <w:szCs w:val="48"/>
          <w:lang w:eastAsia="it-IT"/>
        </w:rPr>
        <w:t>Verità e giustizia per le vittime</w:t>
      </w:r>
    </w:p>
    <w:p w:rsidR="00C8610E" w:rsidRPr="00C8610E" w:rsidRDefault="00C8610E" w:rsidP="00C8610E">
      <w:pPr>
        <w:rPr>
          <w:lang w:eastAsia="it-IT"/>
        </w:rPr>
      </w:pPr>
      <w:r w:rsidRPr="00C8610E">
        <w:rPr>
          <w:lang w:eastAsia="it-IT"/>
        </w:rPr>
        <w:t>La sentenza oggi al tribunale di Taranto</w:t>
      </w:r>
    </w:p>
    <w:p w:rsidR="00C8610E" w:rsidRPr="00C8610E" w:rsidRDefault="00C8610E" w:rsidP="00C8610E">
      <w:pPr>
        <w:rPr>
          <w:lang w:eastAsia="it-IT"/>
        </w:rPr>
      </w:pPr>
      <w:r w:rsidRPr="00C8610E">
        <w:rPr>
          <w:lang w:eastAsia="it-IT"/>
        </w:rPr>
        <w:t>23 maggio 2014 - Alessandro Marescotti</w:t>
      </w:r>
    </w:p>
    <w:p w:rsidR="00C8610E" w:rsidRPr="00C8610E" w:rsidRDefault="00C8610E" w:rsidP="00C8610E">
      <w:pPr>
        <w:spacing w:before="100" w:beforeAutospacing="1" w:after="100" w:afterAutospacing="1"/>
        <w:rPr>
          <w:lang w:eastAsia="it-IT"/>
        </w:rPr>
      </w:pPr>
      <w:r w:rsidRPr="00C8610E">
        <w:rPr>
          <w:noProof/>
          <w:color w:val="0000FF"/>
          <w:lang w:eastAsia="it-IT"/>
        </w:rPr>
        <w:drawing>
          <wp:inline distT="0" distB="0" distL="0" distR="0" wp14:anchorId="5C4D48AC" wp14:editId="1BE9DF2E">
            <wp:extent cx="3810000" cy="2537460"/>
            <wp:effectExtent l="0" t="0" r="0" b="0"/>
            <wp:docPr id="1" name="image-thumb19312" descr="la lettura della sentenza">
              <a:hlinkClick xmlns:a="http://schemas.openxmlformats.org/drawingml/2006/main" r:id="rId6" tgtFrame="&quot;_blank&quot;" tooltip="&quot;la lettura della sentenza (Clicca per ingrandir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thumb19312" descr="la lettura della sentenza">
                      <a:hlinkClick r:id="rId6" tgtFrame="&quot;_blank&quot;" tooltip="&quot;la lettura della sentenza (Clicca per ingrandir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10E" w:rsidRDefault="00C8610E" w:rsidP="00C8610E">
      <w:pPr>
        <w:spacing w:before="100" w:beforeAutospacing="1" w:after="100" w:afterAutospacing="1"/>
        <w:outlineLvl w:val="3"/>
        <w:rPr>
          <w:lang w:eastAsia="it-IT"/>
        </w:rPr>
      </w:pPr>
      <w:r>
        <w:rPr>
          <w:lang w:eastAsia="it-IT"/>
        </w:rPr>
        <w:t xml:space="preserve"> Il Tribunale di Taranto ha condannato i responsabili ILVA  e ex ITALSIDER nel processo per morti da amianto a pene che vanno da 4 anni e mezzo a 9 anni e mezzo per omicidio colposo plurimo e disastro ambientale derivante da delitto doloso. Sono 15 i morti e 27 i condannati.</w:t>
      </w:r>
      <w:r w:rsidR="00474191">
        <w:rPr>
          <w:lang w:eastAsia="it-IT"/>
        </w:rPr>
        <w:t xml:space="preserve"> </w:t>
      </w:r>
      <w:r>
        <w:rPr>
          <w:lang w:eastAsia="it-IT"/>
        </w:rPr>
        <w:t>Un giudizio che da il senso della gravità dei reati</w:t>
      </w:r>
      <w:r w:rsidR="00474191">
        <w:rPr>
          <w:lang w:eastAsia="it-IT"/>
        </w:rPr>
        <w:t xml:space="preserve">, importante per le vittime, ed anche indicativo per il prossimo più grande procedimento che si aprirà contro ILVA il </w:t>
      </w:r>
      <w:r>
        <w:rPr>
          <w:lang w:eastAsia="it-IT"/>
        </w:rPr>
        <w:t xml:space="preserve"> </w:t>
      </w:r>
      <w:r w:rsidR="00474191">
        <w:rPr>
          <w:lang w:eastAsia="it-IT"/>
        </w:rPr>
        <w:t>prossimo 19 giugno.</w:t>
      </w:r>
    </w:p>
    <w:p w:rsidR="00C8610E" w:rsidRPr="00C8610E" w:rsidRDefault="00C8610E" w:rsidP="00C8610E">
      <w:pPr>
        <w:spacing w:before="100" w:beforeAutospacing="1" w:after="100" w:afterAutospacing="1"/>
        <w:outlineLvl w:val="3"/>
        <w:rPr>
          <w:lang w:eastAsia="it-IT"/>
        </w:rPr>
      </w:pPr>
      <w:r>
        <w:rPr>
          <w:lang w:eastAsia="it-IT"/>
        </w:rPr>
        <w:t>Le parti civili, fra cui AIEA,  verranno risarcite con procedimento separato. Solo ad INAIL viene concessa una consistente provvisionale.</w:t>
      </w:r>
    </w:p>
    <w:p w:rsidR="00C8610E" w:rsidRPr="00C8610E" w:rsidRDefault="00C8610E" w:rsidP="00C8610E">
      <w:pPr>
        <w:rPr>
          <w:lang w:eastAsia="it-IT"/>
        </w:rPr>
      </w:pPr>
      <w:r>
        <w:rPr>
          <w:lang w:eastAsia="it-IT"/>
        </w:rPr>
        <w:t xml:space="preserve"> </w:t>
      </w:r>
      <w:r w:rsidR="00474191">
        <w:rPr>
          <w:lang w:eastAsia="it-IT"/>
        </w:rPr>
        <w:t>AIEA NAZIONALE - MILANO</w:t>
      </w:r>
      <w:bookmarkStart w:id="0" w:name="_GoBack"/>
      <w:bookmarkEnd w:id="0"/>
    </w:p>
    <w:p w:rsidR="00E653BA" w:rsidRDefault="00E653BA"/>
    <w:sectPr w:rsidR="00E65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0E"/>
    <w:rsid w:val="00084960"/>
    <w:rsid w:val="00474191"/>
    <w:rsid w:val="00C8610E"/>
    <w:rsid w:val="00E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96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84960"/>
    <w:pPr>
      <w:keepNext/>
      <w:outlineLvl w:val="0"/>
    </w:pPr>
    <w:rPr>
      <w:b/>
      <w:bCs/>
      <w:i/>
      <w:iCs/>
      <w:sz w:val="44"/>
      <w:lang w:val="en-GB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4960"/>
    <w:rPr>
      <w:b/>
      <w:bCs/>
      <w:i/>
      <w:iCs/>
      <w:sz w:val="44"/>
      <w:szCs w:val="24"/>
      <w:lang w:val="en-GB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1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96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84960"/>
    <w:pPr>
      <w:keepNext/>
      <w:outlineLvl w:val="0"/>
    </w:pPr>
    <w:rPr>
      <w:b/>
      <w:bCs/>
      <w:i/>
      <w:iCs/>
      <w:sz w:val="44"/>
      <w:lang w:val="en-GB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4960"/>
    <w:rPr>
      <w:b/>
      <w:bCs/>
      <w:i/>
      <w:iCs/>
      <w:sz w:val="44"/>
      <w:szCs w:val="24"/>
      <w:lang w:val="en-GB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1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8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7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59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05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85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1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3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acelink.it/ecologia/a/iz40183_i1931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fulvio</cp:lastModifiedBy>
  <cp:revision>1</cp:revision>
  <dcterms:created xsi:type="dcterms:W3CDTF">2014-05-23T14:43:00Z</dcterms:created>
  <dcterms:modified xsi:type="dcterms:W3CDTF">2014-05-23T14:56:00Z</dcterms:modified>
</cp:coreProperties>
</file>